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Tenuta registro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Accettazione e tenuta dichiarazioni di testamento biologico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della cittadinanza per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durante la minore eta' del figlio, o nel caso in cui la paternita' o maternita' non puo' essere dichiarata, purche' sia stato riconosciuto giudizialmente il diritto al mantenimento o agli alimenti, di minore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Acquisizione della cittadinanza italiana per riconoscimento o dichiarazione giudiziale della filiazione o nel caso in cui la paternita' o maternita' non puo' essere dichiarata, purche' sia stato riconosciuto giudizialmente il diritto al mantenimento o agli alimenti, di maggiorenne straniero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Verifica dichiarazione di rinnovo della dimora abituale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