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gestione giuridica del personale dipendente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ha la finalita' di gestire il trattamento economico del personale dipendenti comunali e le indennita' erogate agli amministratori locali, con annessi adempimenti contributivi, assistenziali, previdenziali, fiscali; controllo e stampa cartoline presenze mensile; aggiornamento e archivio permessi/ferie personale; elaborazione mensile, anche attraverso ditta esterna, dei cedolini; elaborazione e presentazione 770 per certificazione annua dei contributi versati. L'ufficio provvede inoltre alla predisposizione e redazione delle rendicontazioni e statistiche annuali e delle statistiche del personale.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DEFILIPPI CRISTINA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Assunzione di personale mediante concorsi, mobilita' e contratti di lavoro a tempo determinato o flessibile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Attribuzione progressioni economiche orizzontali o di carriera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Programma triennale ed annuale del fabbisogno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Selezioni da centro per l'impiego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Assunzione disabili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Stabilizzazioni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Mobilita' dall'esterno ex art. 30 del D. Lgs. 165/2001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Mobilita' ex art. 34 bis, D. L.gs. 165/2001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Mobilita' interna intersettoriale da P.E.G.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Cambi di profilo professionale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Trasformazione del rapporto di lavoro a tempo parziale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Denunce infortuni sul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coperture INAIL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Versamenti contributivi datori di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Comandi e trasferimenti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Autorizzazioni a prestazioni professionali di personale interno a tempo indeterminato e determinato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Rilevazione eccedenze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Assunzioni interinali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Certificazioni stipendio per cessione quinto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Certificazioni e attestazioni posizioni assicurative (pa) per uso ricongiunzioni, riscatti ed altro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